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jc w:val="both"/>
        <w:rPr>
          <w:rFonts w:hint="default" w:ascii="Times New Roman Regular" w:hAnsi="Times New Roman Regular" w:eastAsia="仿宋" w:cs="Times New Roman Regular"/>
          <w:b/>
          <w:bCs w:val="0"/>
          <w:sz w:val="28"/>
          <w:szCs w:val="28"/>
          <w:lang w:val="en-US" w:eastAsia="zh-Hans"/>
        </w:rPr>
      </w:pPr>
      <w:r>
        <w:rPr>
          <w:rFonts w:hint="default" w:ascii="Times New Roman Regular" w:hAnsi="Times New Roman Regular" w:eastAsia="仿宋" w:cs="Times New Roman Regular"/>
          <w:b/>
          <w:bCs w:val="0"/>
          <w:sz w:val="28"/>
          <w:szCs w:val="28"/>
          <w:lang w:val="en-US" w:eastAsia="zh-Hans"/>
        </w:rPr>
        <w:t>附件</w:t>
      </w:r>
      <w:r>
        <w:rPr>
          <w:rFonts w:hint="default" w:ascii="Times New Roman Regular" w:hAnsi="Times New Roman Regular" w:eastAsia="仿宋" w:cs="Times New Roman Regular"/>
          <w:b/>
          <w:bCs w:val="0"/>
          <w:sz w:val="28"/>
          <w:szCs w:val="28"/>
          <w:lang w:eastAsia="zh-Hans"/>
        </w:rPr>
        <w:t>2</w:t>
      </w:r>
      <w:r>
        <w:rPr>
          <w:rFonts w:hint="default" w:ascii="Times New Roman Regular" w:hAnsi="Times New Roman Regular" w:eastAsia="仿宋" w:cs="Times New Roman Regular"/>
          <w:b/>
          <w:bCs w:val="0"/>
          <w:sz w:val="28"/>
          <w:szCs w:val="28"/>
          <w:lang w:val="en-US" w:eastAsia="zh-Hans"/>
        </w:rPr>
        <w:t>:</w:t>
      </w:r>
    </w:p>
    <w:p>
      <w:pPr>
        <w:pStyle w:val="2"/>
        <w:ind w:left="0"/>
        <w:jc w:val="center"/>
        <w:rPr>
          <w:rFonts w:hint="eastAsia" w:ascii="黑体" w:hAnsi="黑体" w:eastAsia="黑体" w:cs="黑体"/>
          <w:sz w:val="32"/>
          <w:szCs w:val="32"/>
          <w:lang w:eastAsia="zh-CN"/>
        </w:rPr>
      </w:pPr>
      <w:r>
        <w:rPr>
          <w:rFonts w:hint="eastAsia" w:ascii="黑体" w:hAnsi="黑体" w:eastAsia="黑体" w:cs="黑体"/>
          <w:sz w:val="32"/>
          <w:szCs w:val="32"/>
          <w:lang w:eastAsia="zh-CN"/>
        </w:rPr>
        <w:t>中国食品科学技术学会</w:t>
      </w:r>
    </w:p>
    <w:p>
      <w:pPr>
        <w:spacing w:before="239" w:line="364" w:lineRule="auto"/>
        <w:jc w:val="center"/>
        <w:rPr>
          <w:rFonts w:hint="eastAsia" w:ascii="黑体" w:hAnsi="黑体" w:eastAsia="黑体" w:cs="黑体"/>
          <w:b/>
          <w:sz w:val="32"/>
          <w:szCs w:val="32"/>
          <w:lang w:val="en-US" w:eastAsia="zh-Hans"/>
        </w:rPr>
      </w:pPr>
      <w:r>
        <w:rPr>
          <w:rFonts w:hint="eastAsia" w:ascii="黑体" w:hAnsi="黑体" w:eastAsia="黑体" w:cs="黑体"/>
          <w:b/>
          <w:w w:val="95"/>
          <w:sz w:val="32"/>
          <w:szCs w:val="32"/>
          <w:lang w:eastAsia="zh-CN"/>
        </w:rPr>
        <w:t>第一届“飞鹤杯”乳制品创新</w:t>
      </w:r>
      <w:r>
        <w:rPr>
          <w:rFonts w:hint="eastAsia" w:ascii="黑体" w:hAnsi="黑体" w:eastAsia="黑体" w:cs="黑体"/>
          <w:b/>
          <w:w w:val="95"/>
          <w:sz w:val="32"/>
          <w:szCs w:val="32"/>
          <w:lang w:val="en-US" w:eastAsia="zh-Hans"/>
        </w:rPr>
        <w:t>竞</w:t>
      </w:r>
      <w:r>
        <w:rPr>
          <w:rFonts w:hint="eastAsia" w:ascii="黑体" w:hAnsi="黑体" w:eastAsia="黑体" w:cs="黑体"/>
          <w:b/>
          <w:w w:val="95"/>
          <w:sz w:val="32"/>
          <w:szCs w:val="32"/>
          <w:lang w:eastAsia="zh-CN"/>
        </w:rPr>
        <w:t>赛</w:t>
      </w:r>
      <w:r>
        <w:rPr>
          <w:rFonts w:hint="eastAsia" w:ascii="黑体" w:hAnsi="黑体" w:eastAsia="黑体" w:cs="黑体"/>
          <w:b/>
          <w:sz w:val="32"/>
          <w:szCs w:val="32"/>
          <w:lang w:eastAsia="zh-CN"/>
        </w:rPr>
        <w:t>评审</w:t>
      </w:r>
      <w:r>
        <w:rPr>
          <w:rFonts w:hint="eastAsia" w:ascii="黑体" w:hAnsi="黑体" w:eastAsia="黑体" w:cs="黑体"/>
          <w:b/>
          <w:sz w:val="32"/>
          <w:szCs w:val="32"/>
          <w:lang w:val="en-US" w:eastAsia="zh-Hans"/>
        </w:rPr>
        <w:t>规则</w:t>
      </w:r>
    </w:p>
    <w:p>
      <w:pPr>
        <w:pStyle w:val="3"/>
        <w:spacing w:after="120" w:afterLines="50"/>
        <w:ind w:left="0"/>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一、初赛：</w:t>
      </w:r>
      <w:r>
        <w:rPr>
          <w:rFonts w:hint="eastAsia" w:ascii="Times New Roman Regular" w:hAnsi="Times New Roman Regular" w:eastAsia="仿宋" w:cs="Times New Roman Regular"/>
          <w:sz w:val="28"/>
          <w:szCs w:val="28"/>
          <w:lang w:val="en-US" w:eastAsia="zh-Hans"/>
        </w:rPr>
        <w:t>参赛作品</w:t>
      </w:r>
      <w:r>
        <w:rPr>
          <w:rFonts w:hint="default" w:ascii="Times New Roman Regular" w:hAnsi="Times New Roman Regular" w:eastAsia="仿宋" w:cs="Times New Roman Regular"/>
          <w:sz w:val="28"/>
          <w:szCs w:val="28"/>
          <w:lang w:eastAsia="zh-CN"/>
        </w:rPr>
        <w:t>计划书</w:t>
      </w:r>
    </w:p>
    <w:p>
      <w:pPr>
        <w:pStyle w:val="6"/>
        <w:ind w:left="0" w:firstLine="560" w:firstLineChars="200"/>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计划书评审标准，满分为 100 分，具体指标如下：</w:t>
      </w:r>
    </w:p>
    <w:tbl>
      <w:tblPr>
        <w:tblStyle w:val="11"/>
        <w:tblpPr w:leftFromText="180" w:rightFromText="180" w:vertAnchor="text" w:horzAnchor="page" w:tblpXSpec="center" w:tblpY="158"/>
        <w:tblOverlap w:val="never"/>
        <w:tblW w:w="97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69"/>
        <w:gridCol w:w="1081"/>
        <w:gridCol w:w="1033"/>
        <w:gridCol w:w="1017"/>
        <w:gridCol w:w="1066"/>
        <w:gridCol w:w="1250"/>
      </w:tblGrid>
      <w:tr>
        <w:trPr>
          <w:trHeight w:val="520" w:hRule="atLeast"/>
          <w:jc w:val="center"/>
        </w:trPr>
        <w:tc>
          <w:tcPr>
            <w:tcW w:w="4269" w:type="dxa"/>
            <w:vAlign w:val="center"/>
          </w:tcPr>
          <w:p>
            <w:pPr>
              <w:pStyle w:val="16"/>
              <w:spacing w:before="138" w:line="240" w:lineRule="auto"/>
              <w:jc w:val="center"/>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评分指标</w:t>
            </w:r>
          </w:p>
        </w:tc>
        <w:tc>
          <w:tcPr>
            <w:tcW w:w="1081" w:type="dxa"/>
            <w:vAlign w:val="center"/>
          </w:tcPr>
          <w:p>
            <w:pPr>
              <w:pStyle w:val="16"/>
              <w:spacing w:before="138" w:line="240" w:lineRule="auto"/>
              <w:jc w:val="center"/>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很好</w:t>
            </w:r>
          </w:p>
        </w:tc>
        <w:tc>
          <w:tcPr>
            <w:tcW w:w="1033" w:type="dxa"/>
            <w:vAlign w:val="center"/>
          </w:tcPr>
          <w:p>
            <w:pPr>
              <w:pStyle w:val="16"/>
              <w:spacing w:before="138" w:line="240" w:lineRule="auto"/>
              <w:jc w:val="center"/>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较好</w:t>
            </w:r>
          </w:p>
        </w:tc>
        <w:tc>
          <w:tcPr>
            <w:tcW w:w="1017" w:type="dxa"/>
            <w:vAlign w:val="center"/>
          </w:tcPr>
          <w:p>
            <w:pPr>
              <w:pStyle w:val="16"/>
              <w:spacing w:before="138" w:line="240" w:lineRule="auto"/>
              <w:jc w:val="center"/>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一般</w:t>
            </w:r>
          </w:p>
        </w:tc>
        <w:tc>
          <w:tcPr>
            <w:tcW w:w="1066" w:type="dxa"/>
            <w:vAlign w:val="center"/>
          </w:tcPr>
          <w:p>
            <w:pPr>
              <w:pStyle w:val="16"/>
              <w:spacing w:before="138" w:line="240" w:lineRule="auto"/>
              <w:jc w:val="center"/>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较差</w:t>
            </w:r>
          </w:p>
        </w:tc>
        <w:tc>
          <w:tcPr>
            <w:tcW w:w="1250" w:type="dxa"/>
            <w:vAlign w:val="center"/>
          </w:tcPr>
          <w:p>
            <w:pPr>
              <w:pStyle w:val="16"/>
              <w:spacing w:before="138" w:line="240" w:lineRule="auto"/>
              <w:jc w:val="center"/>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很差</w:t>
            </w:r>
          </w:p>
        </w:tc>
      </w:tr>
      <w:tr>
        <w:trPr>
          <w:trHeight w:val="520" w:hRule="atLeast"/>
          <w:jc w:val="center"/>
        </w:trPr>
        <w:tc>
          <w:tcPr>
            <w:tcW w:w="4269" w:type="dxa"/>
            <w:vAlign w:val="center"/>
          </w:tcPr>
          <w:p>
            <w:pPr>
              <w:pStyle w:val="16"/>
              <w:spacing w:before="138" w:line="240" w:lineRule="auto"/>
              <w:jc w:val="center"/>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计划书内容完整性（10分）</w:t>
            </w:r>
          </w:p>
        </w:tc>
        <w:tc>
          <w:tcPr>
            <w:tcW w:w="1081" w:type="dxa"/>
            <w:vAlign w:val="center"/>
          </w:tcPr>
          <w:p>
            <w:pPr>
              <w:pStyle w:val="16"/>
              <w:spacing w:line="240" w:lineRule="auto"/>
              <w:ind w:firstLine="280" w:firstLineChars="10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9-10</w:t>
            </w:r>
          </w:p>
        </w:tc>
        <w:tc>
          <w:tcPr>
            <w:tcW w:w="1033"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7-8</w:t>
            </w:r>
          </w:p>
        </w:tc>
        <w:tc>
          <w:tcPr>
            <w:tcW w:w="1017"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5-6</w:t>
            </w:r>
          </w:p>
        </w:tc>
        <w:tc>
          <w:tcPr>
            <w:tcW w:w="1066"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3-4</w:t>
            </w:r>
          </w:p>
        </w:tc>
        <w:tc>
          <w:tcPr>
            <w:tcW w:w="1250"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1-2</w:t>
            </w:r>
          </w:p>
        </w:tc>
      </w:tr>
      <w:tr>
        <w:trPr>
          <w:trHeight w:val="701" w:hRule="atLeast"/>
          <w:jc w:val="center"/>
        </w:trPr>
        <w:tc>
          <w:tcPr>
            <w:tcW w:w="4269" w:type="dxa"/>
            <w:vAlign w:val="center"/>
          </w:tcPr>
          <w:p>
            <w:pPr>
              <w:pStyle w:val="16"/>
              <w:spacing w:before="162" w:line="240" w:lineRule="auto"/>
              <w:jc w:val="center"/>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作品创新性及市场定位（30分）</w:t>
            </w:r>
          </w:p>
        </w:tc>
        <w:tc>
          <w:tcPr>
            <w:tcW w:w="1081" w:type="dxa"/>
            <w:vAlign w:val="center"/>
          </w:tcPr>
          <w:p>
            <w:pPr>
              <w:pStyle w:val="16"/>
              <w:spacing w:before="1"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26-30</w:t>
            </w:r>
          </w:p>
        </w:tc>
        <w:tc>
          <w:tcPr>
            <w:tcW w:w="1033" w:type="dxa"/>
            <w:vAlign w:val="center"/>
          </w:tcPr>
          <w:p>
            <w:pPr>
              <w:pStyle w:val="16"/>
              <w:spacing w:before="1"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21-25</w:t>
            </w:r>
          </w:p>
        </w:tc>
        <w:tc>
          <w:tcPr>
            <w:tcW w:w="1017" w:type="dxa"/>
            <w:vAlign w:val="center"/>
          </w:tcPr>
          <w:p>
            <w:pPr>
              <w:pStyle w:val="16"/>
              <w:spacing w:before="1"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16-20</w:t>
            </w:r>
          </w:p>
        </w:tc>
        <w:tc>
          <w:tcPr>
            <w:tcW w:w="1066" w:type="dxa"/>
            <w:vAlign w:val="center"/>
          </w:tcPr>
          <w:p>
            <w:pPr>
              <w:pStyle w:val="16"/>
              <w:spacing w:before="1"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11-15</w:t>
            </w:r>
          </w:p>
        </w:tc>
        <w:tc>
          <w:tcPr>
            <w:tcW w:w="1250" w:type="dxa"/>
            <w:vAlign w:val="center"/>
          </w:tcPr>
          <w:p>
            <w:pPr>
              <w:pStyle w:val="16"/>
              <w:spacing w:before="1"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6-10</w:t>
            </w:r>
          </w:p>
        </w:tc>
      </w:tr>
      <w:tr>
        <w:trPr>
          <w:trHeight w:val="520" w:hRule="atLeast"/>
          <w:jc w:val="center"/>
        </w:trPr>
        <w:tc>
          <w:tcPr>
            <w:tcW w:w="4269" w:type="dxa"/>
            <w:vAlign w:val="center"/>
          </w:tcPr>
          <w:p>
            <w:pPr>
              <w:pStyle w:val="16"/>
              <w:spacing w:before="137"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作品配方合理性（20分）</w:t>
            </w:r>
          </w:p>
        </w:tc>
        <w:tc>
          <w:tcPr>
            <w:tcW w:w="1081" w:type="dxa"/>
            <w:vAlign w:val="center"/>
          </w:tcPr>
          <w:p>
            <w:pPr>
              <w:pStyle w:val="16"/>
              <w:spacing w:before="153"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15-20</w:t>
            </w:r>
          </w:p>
        </w:tc>
        <w:tc>
          <w:tcPr>
            <w:tcW w:w="1033" w:type="dxa"/>
            <w:vAlign w:val="center"/>
          </w:tcPr>
          <w:p>
            <w:pPr>
              <w:pStyle w:val="16"/>
              <w:spacing w:before="153"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13-14</w:t>
            </w:r>
          </w:p>
        </w:tc>
        <w:tc>
          <w:tcPr>
            <w:tcW w:w="1017" w:type="dxa"/>
            <w:vAlign w:val="center"/>
          </w:tcPr>
          <w:p>
            <w:pPr>
              <w:pStyle w:val="16"/>
              <w:spacing w:before="153"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11-12</w:t>
            </w:r>
          </w:p>
        </w:tc>
        <w:tc>
          <w:tcPr>
            <w:tcW w:w="1066" w:type="dxa"/>
            <w:vAlign w:val="center"/>
          </w:tcPr>
          <w:p>
            <w:pPr>
              <w:pStyle w:val="16"/>
              <w:spacing w:before="153"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9-10</w:t>
            </w:r>
          </w:p>
        </w:tc>
        <w:tc>
          <w:tcPr>
            <w:tcW w:w="1250" w:type="dxa"/>
            <w:vAlign w:val="center"/>
          </w:tcPr>
          <w:p>
            <w:pPr>
              <w:pStyle w:val="16"/>
              <w:spacing w:before="153"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7-8</w:t>
            </w:r>
          </w:p>
        </w:tc>
      </w:tr>
      <w:tr>
        <w:trPr>
          <w:trHeight w:val="520" w:hRule="atLeast"/>
          <w:jc w:val="center"/>
        </w:trPr>
        <w:tc>
          <w:tcPr>
            <w:tcW w:w="4269" w:type="dxa"/>
            <w:vAlign w:val="center"/>
          </w:tcPr>
          <w:p>
            <w:pPr>
              <w:pStyle w:val="16"/>
              <w:spacing w:before="137"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作品健康属性（15分）</w:t>
            </w:r>
          </w:p>
        </w:tc>
        <w:tc>
          <w:tcPr>
            <w:tcW w:w="1081"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13-15</w:t>
            </w:r>
          </w:p>
        </w:tc>
        <w:tc>
          <w:tcPr>
            <w:tcW w:w="1033"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10-12</w:t>
            </w:r>
          </w:p>
        </w:tc>
        <w:tc>
          <w:tcPr>
            <w:tcW w:w="1017"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7-9</w:t>
            </w:r>
          </w:p>
        </w:tc>
        <w:tc>
          <w:tcPr>
            <w:tcW w:w="1066"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4-6</w:t>
            </w:r>
          </w:p>
        </w:tc>
        <w:tc>
          <w:tcPr>
            <w:tcW w:w="1250"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1-3</w:t>
            </w:r>
          </w:p>
        </w:tc>
      </w:tr>
      <w:tr>
        <w:trPr>
          <w:trHeight w:val="520" w:hRule="atLeast"/>
          <w:jc w:val="center"/>
        </w:trPr>
        <w:tc>
          <w:tcPr>
            <w:tcW w:w="4269" w:type="dxa"/>
            <w:vAlign w:val="center"/>
          </w:tcPr>
          <w:p>
            <w:pPr>
              <w:pStyle w:val="16"/>
              <w:spacing w:before="138" w:line="240" w:lineRule="auto"/>
              <w:jc w:val="center"/>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技术工艺创新性（15分）</w:t>
            </w:r>
          </w:p>
        </w:tc>
        <w:tc>
          <w:tcPr>
            <w:tcW w:w="1081"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13-15</w:t>
            </w:r>
          </w:p>
        </w:tc>
        <w:tc>
          <w:tcPr>
            <w:tcW w:w="1033"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10-12</w:t>
            </w:r>
          </w:p>
        </w:tc>
        <w:tc>
          <w:tcPr>
            <w:tcW w:w="1017"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7-9</w:t>
            </w:r>
          </w:p>
        </w:tc>
        <w:tc>
          <w:tcPr>
            <w:tcW w:w="1066"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4-6</w:t>
            </w:r>
          </w:p>
        </w:tc>
        <w:tc>
          <w:tcPr>
            <w:tcW w:w="1250"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1-3</w:t>
            </w:r>
          </w:p>
        </w:tc>
      </w:tr>
      <w:tr>
        <w:trPr>
          <w:trHeight w:val="520" w:hRule="atLeast"/>
          <w:jc w:val="center"/>
        </w:trPr>
        <w:tc>
          <w:tcPr>
            <w:tcW w:w="4269" w:type="dxa"/>
            <w:vAlign w:val="center"/>
          </w:tcPr>
          <w:p>
            <w:pPr>
              <w:pStyle w:val="16"/>
              <w:spacing w:before="136" w:line="240" w:lineRule="auto"/>
              <w:jc w:val="center"/>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作品商业化可能性（10分）</w:t>
            </w:r>
          </w:p>
        </w:tc>
        <w:tc>
          <w:tcPr>
            <w:tcW w:w="1081" w:type="dxa"/>
            <w:vAlign w:val="center"/>
          </w:tcPr>
          <w:p>
            <w:pPr>
              <w:pStyle w:val="16"/>
              <w:spacing w:before="136" w:line="240" w:lineRule="auto"/>
              <w:ind w:firstLine="280" w:firstLineChars="10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9-10</w:t>
            </w:r>
          </w:p>
        </w:tc>
        <w:tc>
          <w:tcPr>
            <w:tcW w:w="1033"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7-8</w:t>
            </w:r>
          </w:p>
        </w:tc>
        <w:tc>
          <w:tcPr>
            <w:tcW w:w="1017"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5-6</w:t>
            </w:r>
          </w:p>
        </w:tc>
        <w:tc>
          <w:tcPr>
            <w:tcW w:w="1066"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3-4</w:t>
            </w:r>
          </w:p>
        </w:tc>
        <w:tc>
          <w:tcPr>
            <w:tcW w:w="1250" w:type="dxa"/>
            <w:vAlign w:val="center"/>
          </w:tcPr>
          <w:p>
            <w:pPr>
              <w:pStyle w:val="16"/>
              <w:spacing w:line="240" w:lineRule="auto"/>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1-2</w:t>
            </w:r>
          </w:p>
        </w:tc>
      </w:tr>
    </w:tbl>
    <w:p>
      <w:pPr>
        <w:pStyle w:val="3"/>
        <w:spacing w:before="160" w:after="240" w:afterLines="100"/>
        <w:ind w:left="0"/>
        <w:jc w:val="left"/>
        <w:rPr>
          <w:rFonts w:hint="default" w:ascii="Times New Roman Regular" w:hAnsi="Times New Roman Regular" w:eastAsia="仿宋" w:cs="Times New Roman Regular"/>
          <w:b w:val="0"/>
          <w:bCs w:val="0"/>
          <w:sz w:val="24"/>
          <w:szCs w:val="24"/>
          <w:lang w:eastAsia="zh-CN"/>
        </w:rPr>
      </w:pPr>
      <w:r>
        <w:rPr>
          <w:rFonts w:hint="default" w:ascii="Times New Roman Regular" w:hAnsi="Times New Roman Regular" w:eastAsia="仿宋" w:cs="Times New Roman Regular"/>
          <w:b w:val="0"/>
          <w:bCs w:val="0"/>
          <w:sz w:val="24"/>
          <w:szCs w:val="24"/>
          <w:lang w:eastAsia="zh-CN"/>
        </w:rPr>
        <w:t>分值及等级标准：优秀：100-85分，良好：84-70分，一般：69-55分，差：54-0。</w:t>
      </w:r>
    </w:p>
    <w:p>
      <w:pPr>
        <w:pStyle w:val="3"/>
        <w:spacing w:before="160" w:after="240" w:afterLines="100"/>
        <w:ind w:left="0"/>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二、决赛：决赛作品评审</w:t>
      </w:r>
    </w:p>
    <w:p>
      <w:pPr>
        <w:pStyle w:val="6"/>
        <w:spacing w:before="44" w:line="364" w:lineRule="auto"/>
        <w:ind w:left="0" w:firstLine="486"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b/>
          <w:bCs/>
          <w:spacing w:val="-19"/>
          <w:sz w:val="28"/>
          <w:szCs w:val="28"/>
          <w:lang w:eastAsia="zh-CN"/>
        </w:rPr>
        <w:t>1、</w:t>
      </w:r>
      <w:r>
        <w:rPr>
          <w:rFonts w:hint="default" w:ascii="Times New Roman Regular" w:hAnsi="Times New Roman Regular" w:eastAsia="仿宋" w:cs="Times New Roman Regular"/>
          <w:b/>
          <w:bCs/>
          <w:sz w:val="28"/>
          <w:szCs w:val="28"/>
          <w:lang w:eastAsia="zh-CN"/>
        </w:rPr>
        <w:t>决赛评审标准</w:t>
      </w:r>
      <w:r>
        <w:rPr>
          <w:rFonts w:hint="default" w:ascii="Times New Roman Regular" w:hAnsi="Times New Roman Regular" w:eastAsia="仿宋" w:cs="Times New Roman Regular"/>
          <w:b/>
          <w:bCs/>
          <w:sz w:val="28"/>
          <w:szCs w:val="28"/>
          <w:lang w:eastAsia="zh-CN"/>
        </w:rPr>
        <w:t>：</w:t>
      </w:r>
      <w:r>
        <w:rPr>
          <w:rFonts w:hint="default" w:ascii="Times New Roman Regular" w:hAnsi="Times New Roman Regular" w:eastAsia="仿宋" w:cs="Times New Roman Regular"/>
          <w:sz w:val="28"/>
          <w:szCs w:val="28"/>
          <w:lang w:eastAsia="zh-CN"/>
        </w:rPr>
        <w:t>满分为 100 分，具体指标如下：</w:t>
      </w:r>
    </w:p>
    <w:tbl>
      <w:tblPr>
        <w:tblStyle w:val="11"/>
        <w:tblpPr w:leftFromText="180" w:rightFromText="180" w:vertAnchor="text" w:horzAnchor="page" w:tblpXSpec="center" w:tblpY="144"/>
        <w:tblOverlap w:val="never"/>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58"/>
        <w:gridCol w:w="917"/>
        <w:gridCol w:w="933"/>
        <w:gridCol w:w="908"/>
        <w:gridCol w:w="850"/>
        <w:gridCol w:w="849"/>
      </w:tblGrid>
      <w:tr>
        <w:trPr>
          <w:trHeight w:val="520" w:hRule="atLeast"/>
          <w:jc w:val="center"/>
        </w:trPr>
        <w:tc>
          <w:tcPr>
            <w:tcW w:w="4658" w:type="dxa"/>
            <w:vAlign w:val="center"/>
          </w:tcPr>
          <w:p>
            <w:pPr>
              <w:pStyle w:val="16"/>
              <w:spacing w:before="136"/>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评分指标</w:t>
            </w:r>
          </w:p>
        </w:tc>
        <w:tc>
          <w:tcPr>
            <w:tcW w:w="917" w:type="dxa"/>
            <w:vAlign w:val="center"/>
          </w:tcPr>
          <w:p>
            <w:pPr>
              <w:pStyle w:val="16"/>
              <w:spacing w:before="136"/>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很好</w:t>
            </w:r>
          </w:p>
        </w:tc>
        <w:tc>
          <w:tcPr>
            <w:tcW w:w="933" w:type="dxa"/>
            <w:vAlign w:val="center"/>
          </w:tcPr>
          <w:p>
            <w:pPr>
              <w:pStyle w:val="16"/>
              <w:spacing w:before="136"/>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w w:val="95"/>
                <w:sz w:val="28"/>
                <w:szCs w:val="28"/>
              </w:rPr>
              <w:t>较好</w:t>
            </w:r>
          </w:p>
        </w:tc>
        <w:tc>
          <w:tcPr>
            <w:tcW w:w="908" w:type="dxa"/>
            <w:vAlign w:val="center"/>
          </w:tcPr>
          <w:p>
            <w:pPr>
              <w:pStyle w:val="16"/>
              <w:spacing w:before="136"/>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一般</w:t>
            </w:r>
          </w:p>
        </w:tc>
        <w:tc>
          <w:tcPr>
            <w:tcW w:w="850" w:type="dxa"/>
            <w:vAlign w:val="center"/>
          </w:tcPr>
          <w:p>
            <w:pPr>
              <w:pStyle w:val="16"/>
              <w:spacing w:before="136"/>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较差</w:t>
            </w:r>
          </w:p>
        </w:tc>
        <w:tc>
          <w:tcPr>
            <w:tcW w:w="849" w:type="dxa"/>
            <w:vAlign w:val="center"/>
          </w:tcPr>
          <w:p>
            <w:pPr>
              <w:pStyle w:val="16"/>
              <w:spacing w:before="136"/>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很差</w:t>
            </w:r>
          </w:p>
        </w:tc>
      </w:tr>
      <w:tr>
        <w:trPr>
          <w:trHeight w:val="520" w:hRule="atLeast"/>
          <w:jc w:val="center"/>
        </w:trPr>
        <w:tc>
          <w:tcPr>
            <w:tcW w:w="4658" w:type="dxa"/>
            <w:vAlign w:val="center"/>
          </w:tcPr>
          <w:p>
            <w:pPr>
              <w:pStyle w:val="16"/>
              <w:spacing w:before="0"/>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产品报告书（10分）</w:t>
            </w:r>
          </w:p>
        </w:tc>
        <w:tc>
          <w:tcPr>
            <w:tcW w:w="917" w:type="dxa"/>
            <w:vAlign w:val="center"/>
          </w:tcPr>
          <w:p>
            <w:pPr>
              <w:pStyle w:val="16"/>
              <w:ind w:firstLine="280" w:firstLineChars="10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9-10</w:t>
            </w:r>
          </w:p>
        </w:tc>
        <w:tc>
          <w:tcPr>
            <w:tcW w:w="933" w:type="dxa"/>
            <w:vAlign w:val="center"/>
          </w:tcPr>
          <w:p>
            <w:pPr>
              <w:pStyle w:val="16"/>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7-8</w:t>
            </w:r>
          </w:p>
        </w:tc>
        <w:tc>
          <w:tcPr>
            <w:tcW w:w="908" w:type="dxa"/>
            <w:vAlign w:val="center"/>
          </w:tcPr>
          <w:p>
            <w:pPr>
              <w:pStyle w:val="16"/>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5-6</w:t>
            </w:r>
          </w:p>
        </w:tc>
        <w:tc>
          <w:tcPr>
            <w:tcW w:w="850" w:type="dxa"/>
            <w:vAlign w:val="center"/>
          </w:tcPr>
          <w:p>
            <w:pPr>
              <w:pStyle w:val="16"/>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3-4</w:t>
            </w:r>
          </w:p>
        </w:tc>
        <w:tc>
          <w:tcPr>
            <w:tcW w:w="849" w:type="dxa"/>
            <w:vAlign w:val="center"/>
          </w:tcPr>
          <w:p>
            <w:pPr>
              <w:pStyle w:val="16"/>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1-2</w:t>
            </w:r>
          </w:p>
        </w:tc>
      </w:tr>
      <w:tr>
        <w:trPr>
          <w:trHeight w:val="520" w:hRule="atLeast"/>
          <w:jc w:val="center"/>
        </w:trPr>
        <w:tc>
          <w:tcPr>
            <w:tcW w:w="4658"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作品创新性（30分）</w:t>
            </w:r>
          </w:p>
        </w:tc>
        <w:tc>
          <w:tcPr>
            <w:tcW w:w="917" w:type="dxa"/>
            <w:vAlign w:val="center"/>
          </w:tcPr>
          <w:p>
            <w:pPr>
              <w:pStyle w:val="16"/>
              <w:spacing w:before="1"/>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26-30</w:t>
            </w:r>
          </w:p>
        </w:tc>
        <w:tc>
          <w:tcPr>
            <w:tcW w:w="933" w:type="dxa"/>
            <w:vAlign w:val="center"/>
          </w:tcPr>
          <w:p>
            <w:pPr>
              <w:pStyle w:val="16"/>
              <w:spacing w:before="1"/>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21-25</w:t>
            </w:r>
          </w:p>
        </w:tc>
        <w:tc>
          <w:tcPr>
            <w:tcW w:w="908" w:type="dxa"/>
            <w:vAlign w:val="center"/>
          </w:tcPr>
          <w:p>
            <w:pPr>
              <w:pStyle w:val="16"/>
              <w:spacing w:before="1"/>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16-20</w:t>
            </w:r>
          </w:p>
        </w:tc>
        <w:tc>
          <w:tcPr>
            <w:tcW w:w="850" w:type="dxa"/>
            <w:vAlign w:val="center"/>
          </w:tcPr>
          <w:p>
            <w:pPr>
              <w:pStyle w:val="16"/>
              <w:spacing w:before="1"/>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11-15</w:t>
            </w:r>
          </w:p>
        </w:tc>
        <w:tc>
          <w:tcPr>
            <w:tcW w:w="849" w:type="dxa"/>
            <w:vAlign w:val="center"/>
          </w:tcPr>
          <w:p>
            <w:pPr>
              <w:pStyle w:val="16"/>
              <w:spacing w:before="1"/>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6-10</w:t>
            </w:r>
          </w:p>
        </w:tc>
      </w:tr>
      <w:tr>
        <w:trPr>
          <w:trHeight w:val="520" w:hRule="atLeast"/>
          <w:jc w:val="center"/>
        </w:trPr>
        <w:tc>
          <w:tcPr>
            <w:tcW w:w="4658"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作品商业价值（20分）</w:t>
            </w:r>
          </w:p>
        </w:tc>
        <w:tc>
          <w:tcPr>
            <w:tcW w:w="917"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15-20</w:t>
            </w:r>
          </w:p>
        </w:tc>
        <w:tc>
          <w:tcPr>
            <w:tcW w:w="933"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13-14</w:t>
            </w:r>
          </w:p>
        </w:tc>
        <w:tc>
          <w:tcPr>
            <w:tcW w:w="908"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11-12</w:t>
            </w:r>
          </w:p>
        </w:tc>
        <w:tc>
          <w:tcPr>
            <w:tcW w:w="850"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9-10</w:t>
            </w:r>
          </w:p>
        </w:tc>
        <w:tc>
          <w:tcPr>
            <w:tcW w:w="849"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7-8</w:t>
            </w:r>
          </w:p>
        </w:tc>
      </w:tr>
      <w:tr>
        <w:trPr>
          <w:trHeight w:val="1275" w:hRule="atLeast"/>
          <w:jc w:val="center"/>
        </w:trPr>
        <w:tc>
          <w:tcPr>
            <w:tcW w:w="4658" w:type="dxa"/>
            <w:vAlign w:val="center"/>
          </w:tcPr>
          <w:p>
            <w:pPr>
              <w:pStyle w:val="16"/>
              <w:spacing w:before="0"/>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作品技术可行性（工艺、设备、</w:t>
            </w:r>
          </w:p>
          <w:p>
            <w:pPr>
              <w:pStyle w:val="16"/>
              <w:spacing w:before="0" w:line="520" w:lineRule="atLeast"/>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成本、原料的稳定性等）（20分）</w:t>
            </w:r>
          </w:p>
        </w:tc>
        <w:tc>
          <w:tcPr>
            <w:tcW w:w="917"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15-20</w:t>
            </w:r>
          </w:p>
        </w:tc>
        <w:tc>
          <w:tcPr>
            <w:tcW w:w="933"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13-14</w:t>
            </w:r>
          </w:p>
        </w:tc>
        <w:tc>
          <w:tcPr>
            <w:tcW w:w="908"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11-12</w:t>
            </w:r>
          </w:p>
        </w:tc>
        <w:tc>
          <w:tcPr>
            <w:tcW w:w="850"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9-10</w:t>
            </w:r>
          </w:p>
        </w:tc>
        <w:tc>
          <w:tcPr>
            <w:tcW w:w="849"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9" w:hRule="atLeast"/>
          <w:jc w:val="center"/>
        </w:trPr>
        <w:tc>
          <w:tcPr>
            <w:tcW w:w="4658" w:type="dxa"/>
            <w:vAlign w:val="center"/>
          </w:tcPr>
          <w:p>
            <w:pPr>
              <w:pStyle w:val="16"/>
              <w:spacing w:before="0"/>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作品感官度（口感、健康价值、美观度、包装设计等）（20分）</w:t>
            </w:r>
          </w:p>
        </w:tc>
        <w:tc>
          <w:tcPr>
            <w:tcW w:w="917"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15-20</w:t>
            </w:r>
          </w:p>
        </w:tc>
        <w:tc>
          <w:tcPr>
            <w:tcW w:w="933"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13-14</w:t>
            </w:r>
          </w:p>
        </w:tc>
        <w:tc>
          <w:tcPr>
            <w:tcW w:w="908"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11-12</w:t>
            </w:r>
          </w:p>
        </w:tc>
        <w:tc>
          <w:tcPr>
            <w:tcW w:w="850"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9-10</w:t>
            </w:r>
          </w:p>
        </w:tc>
        <w:tc>
          <w:tcPr>
            <w:tcW w:w="849" w:type="dxa"/>
            <w:vAlign w:val="center"/>
          </w:tcPr>
          <w:p>
            <w:pPr>
              <w:pStyle w:val="16"/>
              <w:spacing w:before="0"/>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7-8</w:t>
            </w:r>
          </w:p>
        </w:tc>
      </w:tr>
    </w:tbl>
    <w:p>
      <w:pPr>
        <w:pStyle w:val="6"/>
        <w:spacing w:line="365" w:lineRule="auto"/>
        <w:ind w:left="0" w:leftChars="0" w:firstLine="0" w:firstLineChars="0"/>
        <w:jc w:val="both"/>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分值及等级标准：优秀：100-85分，良好：84-70分，一般：69-55分，差：54-0。</w:t>
      </w:r>
    </w:p>
    <w:p>
      <w:pPr>
        <w:pStyle w:val="6"/>
        <w:spacing w:line="365" w:lineRule="auto"/>
        <w:ind w:left="0" w:leftChars="0" w:firstLine="562" w:firstLineChars="200"/>
        <w:jc w:val="both"/>
        <w:rPr>
          <w:rFonts w:hint="default" w:ascii="Times New Roman Regular" w:hAnsi="Times New Roman Regular" w:eastAsia="仿宋" w:cs="Times New Roman Regular"/>
          <w:b/>
          <w:bCs/>
          <w:sz w:val="28"/>
          <w:szCs w:val="28"/>
          <w:lang w:eastAsia="zh-CN"/>
        </w:rPr>
      </w:pPr>
      <w:r>
        <w:rPr>
          <w:rFonts w:hint="default" w:ascii="Times New Roman Regular" w:hAnsi="Times New Roman Regular" w:eastAsia="仿宋" w:cs="Times New Roman Regular"/>
          <w:b/>
          <w:bCs/>
          <w:sz w:val="28"/>
          <w:szCs w:val="28"/>
          <w:lang w:eastAsia="zh-CN"/>
        </w:rPr>
        <w:t>2、最佳指导教师奖项评审</w:t>
      </w:r>
    </w:p>
    <w:p>
      <w:pPr>
        <w:pStyle w:val="6"/>
        <w:spacing w:line="365" w:lineRule="auto"/>
        <w:ind w:left="0" w:leftChars="0" w:firstLine="560" w:firstLineChars="200"/>
        <w:jc w:val="both"/>
        <w:rPr>
          <w:rFonts w:hint="default" w:ascii="Times New Roman Regular" w:hAnsi="Times New Roman Regular" w:eastAsia="仿宋" w:cs="Times New Roman Regular"/>
          <w:b/>
          <w:bCs/>
          <w:sz w:val="28"/>
          <w:szCs w:val="28"/>
          <w:lang w:eastAsia="zh-CN"/>
        </w:rPr>
      </w:pPr>
      <w:r>
        <w:rPr>
          <w:rFonts w:hint="default" w:ascii="Times New Roman Regular" w:hAnsi="Times New Roman Regular" w:eastAsia="仿宋" w:cs="Times New Roman Regular"/>
          <w:sz w:val="28"/>
          <w:szCs w:val="28"/>
          <w:lang w:eastAsia="zh-CN"/>
        </w:rPr>
        <w:t>大赛今年设置最佳指导教师奖项，获奖人为决赛中获奖团队的指导教师。大赛评审团将按照以下评审规则进行评审。</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283"/>
        <w:gridCol w:w="827"/>
        <w:gridCol w:w="840"/>
        <w:gridCol w:w="819"/>
        <w:gridCol w:w="756"/>
        <w:gridCol w:w="755"/>
      </w:tblGrid>
      <w:tr>
        <w:trPr>
          <w:trHeight w:val="435" w:hRule="atLeast"/>
          <w:jc w:val="center"/>
        </w:trPr>
        <w:tc>
          <w:tcPr>
            <w:tcW w:w="528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评分指标</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很好</w:t>
            </w:r>
          </w:p>
        </w:tc>
        <w:tc>
          <w:tcPr>
            <w:tcW w:w="84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较好</w:t>
            </w:r>
          </w:p>
        </w:tc>
        <w:tc>
          <w:tcPr>
            <w:tcW w:w="81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一般</w:t>
            </w:r>
          </w:p>
        </w:tc>
        <w:tc>
          <w:tcPr>
            <w:tcW w:w="75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较差</w:t>
            </w:r>
          </w:p>
        </w:tc>
        <w:tc>
          <w:tcPr>
            <w:tcW w:w="7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很差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0" w:hRule="atLeast"/>
          <w:jc w:val="center"/>
        </w:trPr>
        <w:tc>
          <w:tcPr>
            <w:tcW w:w="528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0"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报告书书写规范性（如报告书的完成度、标准、参考文献的引用等）（25分）</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20-25</w:t>
            </w:r>
          </w:p>
        </w:tc>
        <w:tc>
          <w:tcPr>
            <w:tcW w:w="84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16-19</w:t>
            </w:r>
          </w:p>
        </w:tc>
        <w:tc>
          <w:tcPr>
            <w:tcW w:w="81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11-15</w:t>
            </w:r>
          </w:p>
        </w:tc>
        <w:tc>
          <w:tcPr>
            <w:tcW w:w="75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8-10</w:t>
            </w:r>
          </w:p>
        </w:tc>
        <w:tc>
          <w:tcPr>
            <w:tcW w:w="7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5" w:hRule="atLeast"/>
          <w:jc w:val="center"/>
        </w:trPr>
        <w:tc>
          <w:tcPr>
            <w:tcW w:w="528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0"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产品技术含量（如产品配方、加工工艺、包装工艺等）（25分）</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20-25</w:t>
            </w:r>
          </w:p>
        </w:tc>
        <w:tc>
          <w:tcPr>
            <w:tcW w:w="84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16-19</w:t>
            </w:r>
          </w:p>
        </w:tc>
        <w:tc>
          <w:tcPr>
            <w:tcW w:w="81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11-15</w:t>
            </w:r>
          </w:p>
        </w:tc>
        <w:tc>
          <w:tcPr>
            <w:tcW w:w="75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8-10</w:t>
            </w:r>
          </w:p>
        </w:tc>
        <w:tc>
          <w:tcPr>
            <w:tcW w:w="7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11" w:hRule="atLeast"/>
          <w:jc w:val="center"/>
        </w:trPr>
        <w:tc>
          <w:tcPr>
            <w:tcW w:w="528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0"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创意与食品工业发展趋势相吻合（如符合营养、健康等特性）（25分）</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20-25</w:t>
            </w:r>
          </w:p>
        </w:tc>
        <w:tc>
          <w:tcPr>
            <w:tcW w:w="84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16-19</w:t>
            </w:r>
          </w:p>
        </w:tc>
        <w:tc>
          <w:tcPr>
            <w:tcW w:w="81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11-15</w:t>
            </w:r>
          </w:p>
        </w:tc>
        <w:tc>
          <w:tcPr>
            <w:tcW w:w="75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8-10</w:t>
            </w:r>
          </w:p>
        </w:tc>
        <w:tc>
          <w:tcPr>
            <w:tcW w:w="7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9" w:hRule="atLeast"/>
          <w:jc w:val="center"/>
        </w:trPr>
        <w:tc>
          <w:tcPr>
            <w:tcW w:w="528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0"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产品稳定性（如产品保质期）（25分）</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20-25</w:t>
            </w:r>
          </w:p>
        </w:tc>
        <w:tc>
          <w:tcPr>
            <w:tcW w:w="840"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16-19</w:t>
            </w:r>
          </w:p>
        </w:tc>
        <w:tc>
          <w:tcPr>
            <w:tcW w:w="81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11-15</w:t>
            </w:r>
          </w:p>
        </w:tc>
        <w:tc>
          <w:tcPr>
            <w:tcW w:w="756"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8-10</w:t>
            </w:r>
          </w:p>
        </w:tc>
        <w:tc>
          <w:tcPr>
            <w:tcW w:w="7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10"/>
              <w:widowControl w:val="0"/>
              <w:autoSpaceDE w:val="0"/>
              <w:autoSpaceDN w:val="0"/>
              <w:spacing w:before="155" w:beforeAutospacing="0" w:after="0" w:afterAutospacing="0"/>
              <w:jc w:val="center"/>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rPr>
              <w:t>5-7</w:t>
            </w:r>
          </w:p>
        </w:tc>
      </w:tr>
    </w:tbl>
    <w:p>
      <w:pPr>
        <w:pStyle w:val="6"/>
        <w:spacing w:line="365" w:lineRule="auto"/>
        <w:ind w:left="0" w:leftChars="0" w:firstLine="0" w:firstLineChars="0"/>
        <w:jc w:val="both"/>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分值及等级标准：优秀：100-85分，良好：84-70分，一般：69-55分，差：54-0。</w:t>
      </w:r>
    </w:p>
    <w:p>
      <w:pPr>
        <w:snapToGrid w:val="0"/>
        <w:spacing w:before="120" w:beforeLines="50" w:line="360" w:lineRule="auto"/>
        <w:ind w:firstLine="562" w:firstLineChars="200"/>
        <w:outlineLvl w:val="3"/>
        <w:rPr>
          <w:rFonts w:hint="default" w:ascii="Times New Roman Regular" w:hAnsi="Times New Roman Regular" w:eastAsia="仿宋" w:cs="Times New Roman Regular"/>
          <w:b/>
          <w:sz w:val="28"/>
          <w:szCs w:val="28"/>
          <w:lang w:eastAsia="zh-CN"/>
        </w:rPr>
      </w:pPr>
      <w:r>
        <w:rPr>
          <w:rFonts w:hint="default" w:ascii="Times New Roman Regular" w:hAnsi="Times New Roman Regular" w:eastAsia="仿宋" w:cs="Times New Roman Regular"/>
          <w:b/>
          <w:sz w:val="28"/>
          <w:szCs w:val="28"/>
          <w:lang w:eastAsia="zh-CN"/>
        </w:rPr>
        <w:t>3、优秀组织高校评审</w:t>
      </w:r>
    </w:p>
    <w:p>
      <w:pPr>
        <w:snapToGrid w:val="0"/>
        <w:spacing w:line="360" w:lineRule="auto"/>
        <w:ind w:firstLine="56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z w:val="28"/>
          <w:szCs w:val="28"/>
          <w:lang w:eastAsia="zh-CN"/>
        </w:rPr>
        <w:t>（1）</w:t>
      </w:r>
      <w:r>
        <w:rPr>
          <w:rFonts w:hint="default" w:ascii="Times New Roman Regular" w:hAnsi="Times New Roman Regular" w:eastAsia="仿宋" w:cs="Times New Roman Regular"/>
          <w:spacing w:val="-5"/>
          <w:sz w:val="28"/>
          <w:szCs w:val="28"/>
          <w:lang w:eastAsia="zh-CN"/>
        </w:rPr>
        <w:t>各参赛高校需要严格按照大赛的规定时间完成相应工作。</w:t>
      </w:r>
    </w:p>
    <w:p>
      <w:pPr>
        <w:snapToGrid w:val="0"/>
        <w:spacing w:line="360" w:lineRule="auto"/>
        <w:ind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（2）各参赛高校在大赛结束时，需要提供年度活动总结报告及照片等资料。</w:t>
      </w:r>
    </w:p>
    <w:p>
      <w:pPr>
        <w:snapToGrid w:val="0"/>
        <w:spacing w:line="360" w:lineRule="auto"/>
        <w:ind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大赛组委会将对各参与高校的组织工作情况进行评价，评选出优秀组织高校，满分为100分，具体评分标准如下：</w:t>
      </w:r>
    </w:p>
    <w:tbl>
      <w:tblPr>
        <w:tblStyle w:val="11"/>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165"/>
        <w:gridCol w:w="1038"/>
        <w:gridCol w:w="1292"/>
        <w:gridCol w:w="992"/>
        <w:gridCol w:w="1016"/>
        <w:gridCol w:w="11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3165" w:type="dxa"/>
            <w:vAlign w:val="center"/>
          </w:tcPr>
          <w:p>
            <w:pPr>
              <w:pStyle w:val="16"/>
              <w:spacing w:before="136"/>
              <w:rPr>
                <w:rFonts w:hint="default" w:ascii="Times New Roman Regular" w:hAnsi="Times New Roman Regular" w:eastAsia="仿宋" w:cs="Times New Roman Regular"/>
                <w:b/>
                <w:bCs w:val="0"/>
                <w:sz w:val="28"/>
                <w:szCs w:val="28"/>
                <w:lang w:eastAsia="zh-CN"/>
              </w:rPr>
            </w:pPr>
            <w:r>
              <w:rPr>
                <w:rFonts w:hint="default" w:ascii="Times New Roman Regular" w:hAnsi="Times New Roman Regular" w:eastAsia="仿宋" w:cs="Times New Roman Regular"/>
                <w:b/>
                <w:bCs w:val="0"/>
                <w:sz w:val="28"/>
                <w:szCs w:val="28"/>
                <w:lang w:eastAsia="zh-CN"/>
              </w:rPr>
              <w:t>评分指标</w:t>
            </w:r>
          </w:p>
        </w:tc>
        <w:tc>
          <w:tcPr>
            <w:tcW w:w="1038" w:type="dxa"/>
            <w:vAlign w:val="center"/>
          </w:tcPr>
          <w:p>
            <w:pPr>
              <w:pStyle w:val="16"/>
              <w:spacing w:before="136"/>
              <w:rPr>
                <w:rFonts w:hint="default" w:ascii="Times New Roman Regular" w:hAnsi="Times New Roman Regular" w:eastAsia="仿宋" w:cs="Times New Roman Regular"/>
                <w:b/>
                <w:bCs w:val="0"/>
                <w:sz w:val="28"/>
                <w:szCs w:val="28"/>
                <w:lang w:eastAsia="zh-CN"/>
              </w:rPr>
            </w:pPr>
            <w:r>
              <w:rPr>
                <w:rFonts w:hint="default" w:ascii="Times New Roman Regular" w:hAnsi="Times New Roman Regular" w:eastAsia="仿宋" w:cs="Times New Roman Regular"/>
                <w:b/>
                <w:bCs w:val="0"/>
                <w:sz w:val="28"/>
                <w:szCs w:val="28"/>
                <w:lang w:eastAsia="zh-CN"/>
              </w:rPr>
              <w:t>很好</w:t>
            </w:r>
          </w:p>
        </w:tc>
        <w:tc>
          <w:tcPr>
            <w:tcW w:w="1292" w:type="dxa"/>
            <w:vAlign w:val="center"/>
          </w:tcPr>
          <w:p>
            <w:pPr>
              <w:pStyle w:val="16"/>
              <w:spacing w:before="136"/>
              <w:rPr>
                <w:rFonts w:hint="default" w:ascii="Times New Roman Regular" w:hAnsi="Times New Roman Regular" w:eastAsia="仿宋" w:cs="Times New Roman Regular"/>
                <w:b/>
                <w:bCs w:val="0"/>
                <w:sz w:val="28"/>
                <w:szCs w:val="28"/>
                <w:lang w:eastAsia="zh-CN"/>
              </w:rPr>
            </w:pPr>
            <w:r>
              <w:rPr>
                <w:rFonts w:hint="default" w:ascii="Times New Roman Regular" w:hAnsi="Times New Roman Regular" w:eastAsia="仿宋" w:cs="Times New Roman Regular"/>
                <w:b/>
                <w:bCs w:val="0"/>
                <w:sz w:val="28"/>
                <w:szCs w:val="28"/>
                <w:lang w:eastAsia="zh-CN"/>
              </w:rPr>
              <w:t>较好</w:t>
            </w:r>
          </w:p>
        </w:tc>
        <w:tc>
          <w:tcPr>
            <w:tcW w:w="992" w:type="dxa"/>
            <w:vAlign w:val="center"/>
          </w:tcPr>
          <w:p>
            <w:pPr>
              <w:pStyle w:val="16"/>
              <w:spacing w:before="136"/>
              <w:rPr>
                <w:rFonts w:hint="default" w:ascii="Times New Roman Regular" w:hAnsi="Times New Roman Regular" w:eastAsia="仿宋" w:cs="Times New Roman Regular"/>
                <w:b/>
                <w:bCs w:val="0"/>
                <w:sz w:val="28"/>
                <w:szCs w:val="28"/>
                <w:lang w:eastAsia="zh-CN"/>
              </w:rPr>
            </w:pPr>
            <w:r>
              <w:rPr>
                <w:rFonts w:hint="default" w:ascii="Times New Roman Regular" w:hAnsi="Times New Roman Regular" w:eastAsia="仿宋" w:cs="Times New Roman Regular"/>
                <w:b/>
                <w:bCs w:val="0"/>
                <w:sz w:val="28"/>
                <w:szCs w:val="28"/>
                <w:lang w:eastAsia="zh-CN"/>
              </w:rPr>
              <w:t>一般</w:t>
            </w:r>
          </w:p>
        </w:tc>
        <w:tc>
          <w:tcPr>
            <w:tcW w:w="1016" w:type="dxa"/>
            <w:vAlign w:val="center"/>
          </w:tcPr>
          <w:p>
            <w:pPr>
              <w:pStyle w:val="16"/>
              <w:spacing w:before="136"/>
              <w:rPr>
                <w:rFonts w:hint="default" w:ascii="Times New Roman Regular" w:hAnsi="Times New Roman Regular" w:eastAsia="仿宋" w:cs="Times New Roman Regular"/>
                <w:b/>
                <w:bCs w:val="0"/>
                <w:sz w:val="28"/>
                <w:szCs w:val="28"/>
                <w:lang w:eastAsia="zh-CN"/>
              </w:rPr>
            </w:pPr>
            <w:r>
              <w:rPr>
                <w:rFonts w:hint="default" w:ascii="Times New Roman Regular" w:hAnsi="Times New Roman Regular" w:eastAsia="仿宋" w:cs="Times New Roman Regular"/>
                <w:b/>
                <w:bCs w:val="0"/>
                <w:sz w:val="28"/>
                <w:szCs w:val="28"/>
                <w:lang w:eastAsia="zh-CN"/>
              </w:rPr>
              <w:t>较差</w:t>
            </w:r>
          </w:p>
        </w:tc>
        <w:tc>
          <w:tcPr>
            <w:tcW w:w="1131" w:type="dxa"/>
            <w:vAlign w:val="center"/>
          </w:tcPr>
          <w:p>
            <w:pPr>
              <w:pStyle w:val="16"/>
              <w:spacing w:before="136"/>
              <w:rPr>
                <w:rFonts w:hint="default" w:ascii="Times New Roman Regular" w:hAnsi="Times New Roman Regular" w:eastAsia="仿宋" w:cs="Times New Roman Regular"/>
                <w:b/>
                <w:bCs w:val="0"/>
                <w:sz w:val="28"/>
                <w:szCs w:val="28"/>
                <w:lang w:eastAsia="zh-CN"/>
              </w:rPr>
            </w:pPr>
            <w:r>
              <w:rPr>
                <w:rFonts w:hint="default" w:ascii="Times New Roman Regular" w:hAnsi="Times New Roman Regular" w:eastAsia="仿宋" w:cs="Times New Roman Regular"/>
                <w:b/>
                <w:bCs w:val="0"/>
                <w:sz w:val="28"/>
                <w:szCs w:val="28"/>
                <w:lang w:eastAsia="zh-CN"/>
              </w:rPr>
              <w:t>很差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3165"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按时完成各项工作*</w:t>
            </w:r>
          </w:p>
        </w:tc>
        <w:tc>
          <w:tcPr>
            <w:tcW w:w="1038"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30</w:t>
            </w:r>
          </w:p>
        </w:tc>
        <w:tc>
          <w:tcPr>
            <w:tcW w:w="1292"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25</w:t>
            </w:r>
          </w:p>
        </w:tc>
        <w:tc>
          <w:tcPr>
            <w:tcW w:w="992"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20</w:t>
            </w:r>
          </w:p>
        </w:tc>
        <w:tc>
          <w:tcPr>
            <w:tcW w:w="1016"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15</w:t>
            </w:r>
          </w:p>
        </w:tc>
        <w:tc>
          <w:tcPr>
            <w:tcW w:w="1131"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3165"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活动组织与推广</w:t>
            </w:r>
          </w:p>
        </w:tc>
        <w:tc>
          <w:tcPr>
            <w:tcW w:w="1038"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20</w:t>
            </w:r>
          </w:p>
        </w:tc>
        <w:tc>
          <w:tcPr>
            <w:tcW w:w="1292"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17</w:t>
            </w:r>
          </w:p>
        </w:tc>
        <w:tc>
          <w:tcPr>
            <w:tcW w:w="992"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14</w:t>
            </w:r>
          </w:p>
        </w:tc>
        <w:tc>
          <w:tcPr>
            <w:tcW w:w="1016"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11</w:t>
            </w:r>
          </w:p>
        </w:tc>
        <w:tc>
          <w:tcPr>
            <w:tcW w:w="1131"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3165"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产品入围率</w:t>
            </w:r>
          </w:p>
        </w:tc>
        <w:tc>
          <w:tcPr>
            <w:tcW w:w="1038"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15</w:t>
            </w:r>
          </w:p>
        </w:tc>
        <w:tc>
          <w:tcPr>
            <w:tcW w:w="1292"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12</w:t>
            </w:r>
          </w:p>
        </w:tc>
        <w:tc>
          <w:tcPr>
            <w:tcW w:w="992"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10</w:t>
            </w:r>
          </w:p>
        </w:tc>
        <w:tc>
          <w:tcPr>
            <w:tcW w:w="1016"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7</w:t>
            </w:r>
          </w:p>
        </w:tc>
        <w:tc>
          <w:tcPr>
            <w:tcW w:w="1131"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3165"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入围产品获奖率</w:t>
            </w:r>
          </w:p>
        </w:tc>
        <w:tc>
          <w:tcPr>
            <w:tcW w:w="1038"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15</w:t>
            </w:r>
          </w:p>
        </w:tc>
        <w:tc>
          <w:tcPr>
            <w:tcW w:w="1292"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12</w:t>
            </w:r>
          </w:p>
        </w:tc>
        <w:tc>
          <w:tcPr>
            <w:tcW w:w="992"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10</w:t>
            </w:r>
          </w:p>
        </w:tc>
        <w:tc>
          <w:tcPr>
            <w:tcW w:w="1016"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7</w:t>
            </w:r>
          </w:p>
        </w:tc>
        <w:tc>
          <w:tcPr>
            <w:tcW w:w="1131"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3165"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综合评价</w:t>
            </w:r>
          </w:p>
        </w:tc>
        <w:tc>
          <w:tcPr>
            <w:tcW w:w="1038"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20</w:t>
            </w:r>
          </w:p>
        </w:tc>
        <w:tc>
          <w:tcPr>
            <w:tcW w:w="1292"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15-19</w:t>
            </w:r>
          </w:p>
        </w:tc>
        <w:tc>
          <w:tcPr>
            <w:tcW w:w="992"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10-14</w:t>
            </w:r>
          </w:p>
        </w:tc>
        <w:tc>
          <w:tcPr>
            <w:tcW w:w="1016"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5-9</w:t>
            </w:r>
          </w:p>
        </w:tc>
        <w:tc>
          <w:tcPr>
            <w:tcW w:w="1131" w:type="dxa"/>
            <w:vAlign w:val="center"/>
          </w:tcPr>
          <w:p>
            <w:pPr>
              <w:pStyle w:val="16"/>
              <w:spacing w:before="136"/>
              <w:rPr>
                <w:rFonts w:hint="default" w:ascii="Times New Roman Regular" w:hAnsi="Times New Roman Regular" w:eastAsia="仿宋" w:cs="Times New Roman Regular"/>
                <w:bCs/>
                <w:sz w:val="28"/>
                <w:szCs w:val="28"/>
                <w:lang w:eastAsia="zh-CN"/>
              </w:rPr>
            </w:pPr>
            <w:r>
              <w:rPr>
                <w:rFonts w:hint="default" w:ascii="Times New Roman Regular" w:hAnsi="Times New Roman Regular" w:eastAsia="仿宋" w:cs="Times New Roman Regular"/>
                <w:bCs/>
                <w:sz w:val="28"/>
                <w:szCs w:val="28"/>
                <w:lang w:eastAsia="zh-CN"/>
              </w:rPr>
              <w:t>0-4</w:t>
            </w:r>
          </w:p>
        </w:tc>
      </w:tr>
    </w:tbl>
    <w:p>
      <w:pPr>
        <w:snapToGrid w:val="0"/>
        <w:spacing w:before="120" w:beforeLines="50" w:line="360" w:lineRule="auto"/>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*作为硬性指标，达不到25分者不参与优秀组织奖评审。</w:t>
      </w:r>
      <w:bookmarkStart w:id="0" w:name="_GoBack"/>
      <w:bookmarkEnd w:id="0"/>
    </w:p>
    <w:p>
      <w:pPr>
        <w:snapToGrid w:val="0"/>
        <w:spacing w:before="120" w:beforeLines="50" w:line="360" w:lineRule="auto"/>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b/>
          <w:sz w:val="28"/>
          <w:szCs w:val="28"/>
          <w:lang w:eastAsia="zh-CN"/>
        </w:rPr>
        <w:t>【</w:t>
      </w:r>
      <w:r>
        <w:rPr>
          <w:rFonts w:hint="eastAsia" w:ascii="Times New Roman Regular" w:hAnsi="Times New Roman Regular" w:eastAsia="仿宋" w:cs="Times New Roman Regular"/>
          <w:b/>
          <w:sz w:val="28"/>
          <w:szCs w:val="28"/>
          <w:lang w:val="en-US" w:eastAsia="zh-Hans"/>
        </w:rPr>
        <w:t>注</w:t>
      </w:r>
      <w:r>
        <w:rPr>
          <w:rFonts w:hint="default" w:ascii="Times New Roman Regular" w:hAnsi="Times New Roman Regular" w:eastAsia="仿宋" w:cs="Times New Roman Regular"/>
          <w:b/>
          <w:sz w:val="28"/>
          <w:szCs w:val="28"/>
          <w:lang w:eastAsia="zh-CN"/>
        </w:rPr>
        <w:t>】</w:t>
      </w:r>
      <w:r>
        <w:rPr>
          <w:rFonts w:hint="default" w:ascii="Times New Roman Regular" w:hAnsi="Times New Roman Regular" w:eastAsia="仿宋" w:cs="Times New Roman Regular"/>
          <w:spacing w:val="-6"/>
          <w:sz w:val="28"/>
          <w:szCs w:val="28"/>
          <w:lang w:eastAsia="zh-CN"/>
        </w:rPr>
        <w:t>如果所提交方案未达到大赛相关要求及规则，主办方有权对入围的创新方案个数以及奖励数量有所调整。本规则由中国食品科学技术学会和黑龙江飞鹤乳业有限公司负责解释。</w:t>
      </w:r>
    </w:p>
    <w:p>
      <w:pPr>
        <w:rPr>
          <w:rFonts w:hint="default" w:ascii="Times New Roman Regular" w:hAnsi="Times New Roman Regular" w:eastAsia="仿宋" w:cs="Times New Roman Regular"/>
          <w:spacing w:val="-6"/>
          <w:sz w:val="28"/>
          <w:szCs w:val="28"/>
          <w:lang w:eastAsia="zh-CN"/>
        </w:rPr>
      </w:pPr>
    </w:p>
    <w:sectPr>
      <w:headerReference r:id="rId3" w:type="default"/>
      <w:pgSz w:w="11910" w:h="16840"/>
      <w:pgMar w:top="1417" w:right="964" w:bottom="1417" w:left="964" w:header="720" w:footer="720" w:gutter="0"/>
      <w:cols w:equalWidth="0" w:num="1">
        <w:col w:w="927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Times New Roman Regular">
    <w:panose1 w:val="02020603050405020304"/>
    <w:charset w:val="00"/>
    <w:family w:val="auto"/>
    <w:pitch w:val="default"/>
    <w:sig w:usb0="00000000" w:usb1="00000000" w:usb2="0000000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 w:name="黑体">
    <w:altName w:val="汉仪中黑KW"/>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PowerPlusWaterMarkObject30648" o:spid="_x0000_s3073" o:spt="136" type="#_x0000_t136" style="position:absolute;left:0pt;height:194.35pt;width:392.85pt;mso-position-horizontal:center;mso-position-horizontal-relative:margin;mso-position-vertical:center;mso-position-vertical-relative:margin;rotation:-2949120f;z-index:-251657216;mso-width-relative:page;mso-height-relative:page;" fillcolor="#C0C0C0" filled="t" stroked="f" coordsize="21600,21600">
          <v:path/>
          <v:fill on="t" opacity="32768f" focussize="0,0"/>
          <v:stroke on="f"/>
          <v:imagedata o:title=""/>
          <o:lock v:ext="edit" aspectratio="t"/>
          <v:textpath on="t" fitshape="t" fitpath="t" trim="t" xscale="f" string="CIFST" style="font-family:微软雅黑;font-size:36pt;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3"/>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2MmI0NDYxZTYyNTIzYWJiOTNjNGI4MTZiZDllYzEifQ=="/>
  </w:docVars>
  <w:rsids>
    <w:rsidRoot w:val="00172A27"/>
    <w:rsid w:val="00005A50"/>
    <w:rsid w:val="00172A27"/>
    <w:rsid w:val="001910B7"/>
    <w:rsid w:val="002369E9"/>
    <w:rsid w:val="0026625B"/>
    <w:rsid w:val="002A4347"/>
    <w:rsid w:val="0033528E"/>
    <w:rsid w:val="005005FF"/>
    <w:rsid w:val="005731A7"/>
    <w:rsid w:val="005C1027"/>
    <w:rsid w:val="00671673"/>
    <w:rsid w:val="006C7AAA"/>
    <w:rsid w:val="0078006B"/>
    <w:rsid w:val="007C71EC"/>
    <w:rsid w:val="008421EB"/>
    <w:rsid w:val="008B104C"/>
    <w:rsid w:val="008D2ED9"/>
    <w:rsid w:val="00911D08"/>
    <w:rsid w:val="009579C4"/>
    <w:rsid w:val="009C0F1A"/>
    <w:rsid w:val="009D4071"/>
    <w:rsid w:val="00A427DE"/>
    <w:rsid w:val="00A52E02"/>
    <w:rsid w:val="00A55A35"/>
    <w:rsid w:val="00A74514"/>
    <w:rsid w:val="00A753B9"/>
    <w:rsid w:val="00AF5378"/>
    <w:rsid w:val="00B83E9F"/>
    <w:rsid w:val="00C220A4"/>
    <w:rsid w:val="00C46484"/>
    <w:rsid w:val="00C821FC"/>
    <w:rsid w:val="00C84666"/>
    <w:rsid w:val="00CB7DE9"/>
    <w:rsid w:val="00CD607F"/>
    <w:rsid w:val="00D90B56"/>
    <w:rsid w:val="00D91588"/>
    <w:rsid w:val="00DA659D"/>
    <w:rsid w:val="00E53038"/>
    <w:rsid w:val="00F000B0"/>
    <w:rsid w:val="00F270C1"/>
    <w:rsid w:val="01E8602B"/>
    <w:rsid w:val="02B85516"/>
    <w:rsid w:val="02E10689"/>
    <w:rsid w:val="048F0D74"/>
    <w:rsid w:val="04A82A5C"/>
    <w:rsid w:val="051403AC"/>
    <w:rsid w:val="06EB0317"/>
    <w:rsid w:val="07C0327F"/>
    <w:rsid w:val="07DD06DB"/>
    <w:rsid w:val="08BE4EBE"/>
    <w:rsid w:val="08F54A68"/>
    <w:rsid w:val="090D64B2"/>
    <w:rsid w:val="09D712C9"/>
    <w:rsid w:val="09F64F57"/>
    <w:rsid w:val="0A5A01AE"/>
    <w:rsid w:val="0AEC3CCD"/>
    <w:rsid w:val="0C1117AC"/>
    <w:rsid w:val="0C2B3445"/>
    <w:rsid w:val="0C386985"/>
    <w:rsid w:val="0C8C6D04"/>
    <w:rsid w:val="0E302D41"/>
    <w:rsid w:val="0EAF717E"/>
    <w:rsid w:val="0F07424B"/>
    <w:rsid w:val="0F246C03"/>
    <w:rsid w:val="0F25143B"/>
    <w:rsid w:val="0FD561F9"/>
    <w:rsid w:val="0FFE6EA2"/>
    <w:rsid w:val="106C6591"/>
    <w:rsid w:val="10A9220C"/>
    <w:rsid w:val="10C95A30"/>
    <w:rsid w:val="10CA7B60"/>
    <w:rsid w:val="11A356FE"/>
    <w:rsid w:val="12DA4E9C"/>
    <w:rsid w:val="13D8773F"/>
    <w:rsid w:val="14CC779D"/>
    <w:rsid w:val="15A6404A"/>
    <w:rsid w:val="160810BB"/>
    <w:rsid w:val="16F53838"/>
    <w:rsid w:val="170E6B8D"/>
    <w:rsid w:val="179F5030"/>
    <w:rsid w:val="17F365CE"/>
    <w:rsid w:val="180A3584"/>
    <w:rsid w:val="18CA0472"/>
    <w:rsid w:val="18D56DA8"/>
    <w:rsid w:val="19876C97"/>
    <w:rsid w:val="1A7D2473"/>
    <w:rsid w:val="1AB153E5"/>
    <w:rsid w:val="1B1A39C0"/>
    <w:rsid w:val="1B247269"/>
    <w:rsid w:val="1BA806EB"/>
    <w:rsid w:val="1BE85223"/>
    <w:rsid w:val="1CF50822"/>
    <w:rsid w:val="1CF76BB1"/>
    <w:rsid w:val="1D3B025A"/>
    <w:rsid w:val="1D7547C4"/>
    <w:rsid w:val="1DF51730"/>
    <w:rsid w:val="1E703906"/>
    <w:rsid w:val="1ECB56C2"/>
    <w:rsid w:val="1F0E6500"/>
    <w:rsid w:val="1F3B57FE"/>
    <w:rsid w:val="1F720E17"/>
    <w:rsid w:val="1FCF3817"/>
    <w:rsid w:val="20380183"/>
    <w:rsid w:val="20C53447"/>
    <w:rsid w:val="20E63673"/>
    <w:rsid w:val="21190A98"/>
    <w:rsid w:val="21364C00"/>
    <w:rsid w:val="21A71F0A"/>
    <w:rsid w:val="226D7D22"/>
    <w:rsid w:val="22DE6AAE"/>
    <w:rsid w:val="237F58D3"/>
    <w:rsid w:val="24AB76AE"/>
    <w:rsid w:val="24E957B0"/>
    <w:rsid w:val="250B25C6"/>
    <w:rsid w:val="256E1BAD"/>
    <w:rsid w:val="26DD4BF8"/>
    <w:rsid w:val="2707042E"/>
    <w:rsid w:val="2803580B"/>
    <w:rsid w:val="28122F8F"/>
    <w:rsid w:val="28FC7FB0"/>
    <w:rsid w:val="296948F4"/>
    <w:rsid w:val="29831CC2"/>
    <w:rsid w:val="2A2805F8"/>
    <w:rsid w:val="2A9E1582"/>
    <w:rsid w:val="2AF04D85"/>
    <w:rsid w:val="2B4E68CF"/>
    <w:rsid w:val="2BB7511E"/>
    <w:rsid w:val="2C775C21"/>
    <w:rsid w:val="2C801F5A"/>
    <w:rsid w:val="2CAE34CA"/>
    <w:rsid w:val="2CD742D7"/>
    <w:rsid w:val="2D2E76BE"/>
    <w:rsid w:val="2DA438A9"/>
    <w:rsid w:val="2E7D7B4B"/>
    <w:rsid w:val="2EDE43D4"/>
    <w:rsid w:val="2EFF5245"/>
    <w:rsid w:val="30A257A0"/>
    <w:rsid w:val="30F73766"/>
    <w:rsid w:val="30FE04D6"/>
    <w:rsid w:val="31B51721"/>
    <w:rsid w:val="32AF3BAF"/>
    <w:rsid w:val="3301605A"/>
    <w:rsid w:val="334F78DF"/>
    <w:rsid w:val="337E174F"/>
    <w:rsid w:val="33E34D36"/>
    <w:rsid w:val="34643647"/>
    <w:rsid w:val="34911D38"/>
    <w:rsid w:val="34A509FF"/>
    <w:rsid w:val="35031C9B"/>
    <w:rsid w:val="35044DD3"/>
    <w:rsid w:val="357D0D2F"/>
    <w:rsid w:val="358E75F7"/>
    <w:rsid w:val="35D428D4"/>
    <w:rsid w:val="35DB491B"/>
    <w:rsid w:val="35FE64AB"/>
    <w:rsid w:val="363D7200"/>
    <w:rsid w:val="36784217"/>
    <w:rsid w:val="36A0208A"/>
    <w:rsid w:val="37E05B21"/>
    <w:rsid w:val="38294E48"/>
    <w:rsid w:val="388F4F4F"/>
    <w:rsid w:val="38A44E0C"/>
    <w:rsid w:val="38F41044"/>
    <w:rsid w:val="39240364"/>
    <w:rsid w:val="398D5E07"/>
    <w:rsid w:val="39C44BDE"/>
    <w:rsid w:val="3A995F54"/>
    <w:rsid w:val="3BE603A4"/>
    <w:rsid w:val="3CBC6F22"/>
    <w:rsid w:val="3CE13781"/>
    <w:rsid w:val="3CF30AEC"/>
    <w:rsid w:val="3D2E3615"/>
    <w:rsid w:val="3EF76961"/>
    <w:rsid w:val="3F1249A9"/>
    <w:rsid w:val="3F241551"/>
    <w:rsid w:val="3F462AAD"/>
    <w:rsid w:val="3F8B5F1A"/>
    <w:rsid w:val="40A56E32"/>
    <w:rsid w:val="426A36B7"/>
    <w:rsid w:val="42E728E3"/>
    <w:rsid w:val="43015FF6"/>
    <w:rsid w:val="43E1358B"/>
    <w:rsid w:val="44442C38"/>
    <w:rsid w:val="445D10D7"/>
    <w:rsid w:val="44E62EC2"/>
    <w:rsid w:val="452D5833"/>
    <w:rsid w:val="45F91BAA"/>
    <w:rsid w:val="46EF3F41"/>
    <w:rsid w:val="478048C4"/>
    <w:rsid w:val="47823E6E"/>
    <w:rsid w:val="47EC4858"/>
    <w:rsid w:val="49F1263C"/>
    <w:rsid w:val="4BA80BD8"/>
    <w:rsid w:val="4C910569"/>
    <w:rsid w:val="4C9F3DDE"/>
    <w:rsid w:val="4CBB4F6A"/>
    <w:rsid w:val="4D0E3958"/>
    <w:rsid w:val="4D8A5E22"/>
    <w:rsid w:val="4DB46178"/>
    <w:rsid w:val="4E0C29BA"/>
    <w:rsid w:val="4E4168D6"/>
    <w:rsid w:val="4F1F33E6"/>
    <w:rsid w:val="50C43585"/>
    <w:rsid w:val="51CF5BDA"/>
    <w:rsid w:val="544F467A"/>
    <w:rsid w:val="548C44F0"/>
    <w:rsid w:val="556C4FE0"/>
    <w:rsid w:val="55EE6CFE"/>
    <w:rsid w:val="572A6FB2"/>
    <w:rsid w:val="579A67EC"/>
    <w:rsid w:val="58527C92"/>
    <w:rsid w:val="58A13E78"/>
    <w:rsid w:val="5A502335"/>
    <w:rsid w:val="5B371E00"/>
    <w:rsid w:val="5B9A6B51"/>
    <w:rsid w:val="5C21628F"/>
    <w:rsid w:val="5C687557"/>
    <w:rsid w:val="5C994C01"/>
    <w:rsid w:val="5D813889"/>
    <w:rsid w:val="5DB80DDF"/>
    <w:rsid w:val="5DCC4F33"/>
    <w:rsid w:val="5DF77CC4"/>
    <w:rsid w:val="5E245843"/>
    <w:rsid w:val="5E2B3CFA"/>
    <w:rsid w:val="5EB30C59"/>
    <w:rsid w:val="5EB52E4D"/>
    <w:rsid w:val="5EDB3D37"/>
    <w:rsid w:val="5F834B67"/>
    <w:rsid w:val="5FBD6041"/>
    <w:rsid w:val="6070507B"/>
    <w:rsid w:val="607B6332"/>
    <w:rsid w:val="614152A5"/>
    <w:rsid w:val="62122708"/>
    <w:rsid w:val="625937AA"/>
    <w:rsid w:val="62C71EAC"/>
    <w:rsid w:val="631824D6"/>
    <w:rsid w:val="6456192C"/>
    <w:rsid w:val="64594392"/>
    <w:rsid w:val="64836294"/>
    <w:rsid w:val="66435293"/>
    <w:rsid w:val="66663B28"/>
    <w:rsid w:val="67201E86"/>
    <w:rsid w:val="689170AD"/>
    <w:rsid w:val="68C12A1B"/>
    <w:rsid w:val="68D92019"/>
    <w:rsid w:val="697965B2"/>
    <w:rsid w:val="6A7C373A"/>
    <w:rsid w:val="6AF848DF"/>
    <w:rsid w:val="6B2E2C9B"/>
    <w:rsid w:val="6B374A60"/>
    <w:rsid w:val="6BCE338B"/>
    <w:rsid w:val="6C59522B"/>
    <w:rsid w:val="6D527DD9"/>
    <w:rsid w:val="6E1D35F1"/>
    <w:rsid w:val="6E857787"/>
    <w:rsid w:val="6EA4607F"/>
    <w:rsid w:val="6F716D56"/>
    <w:rsid w:val="72132137"/>
    <w:rsid w:val="732D7B6A"/>
    <w:rsid w:val="733C04C3"/>
    <w:rsid w:val="73681D7A"/>
    <w:rsid w:val="7398215C"/>
    <w:rsid w:val="76AC6DD6"/>
    <w:rsid w:val="77A77E2E"/>
    <w:rsid w:val="7846592F"/>
    <w:rsid w:val="7AC83418"/>
    <w:rsid w:val="7B0606FE"/>
    <w:rsid w:val="7B212A4A"/>
    <w:rsid w:val="7B4B357E"/>
    <w:rsid w:val="7CE360E7"/>
    <w:rsid w:val="7D917A9B"/>
    <w:rsid w:val="7EE40432"/>
    <w:rsid w:val="7F3412F1"/>
    <w:rsid w:val="7FE80581"/>
    <w:rsid w:val="B3CD9A08"/>
    <w:rsid w:val="FF7E6D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en-US" w:bidi="ar-SA"/>
    </w:rPr>
  </w:style>
  <w:style w:type="paragraph" w:styleId="2">
    <w:name w:val="heading 1"/>
    <w:basedOn w:val="1"/>
    <w:next w:val="1"/>
    <w:qFormat/>
    <w:uiPriority w:val="1"/>
    <w:pPr>
      <w:spacing w:before="23"/>
      <w:ind w:left="1384"/>
      <w:outlineLvl w:val="0"/>
    </w:pPr>
    <w:rPr>
      <w:b/>
      <w:bCs/>
      <w:sz w:val="36"/>
      <w:szCs w:val="36"/>
    </w:rPr>
  </w:style>
  <w:style w:type="paragraph" w:styleId="3">
    <w:name w:val="heading 2"/>
    <w:basedOn w:val="1"/>
    <w:next w:val="1"/>
    <w:qFormat/>
    <w:uiPriority w:val="1"/>
    <w:pPr>
      <w:spacing w:before="112"/>
      <w:ind w:left="480"/>
      <w:outlineLvl w:val="1"/>
    </w:pPr>
    <w:rPr>
      <w:b/>
      <w:bCs/>
      <w:sz w:val="30"/>
      <w:szCs w:val="30"/>
    </w:rPr>
  </w:style>
  <w:style w:type="paragraph" w:styleId="4">
    <w:name w:val="heading 3"/>
    <w:basedOn w:val="1"/>
    <w:next w:val="1"/>
    <w:qFormat/>
    <w:uiPriority w:val="1"/>
    <w:pPr>
      <w:spacing w:before="197"/>
      <w:ind w:left="480"/>
      <w:outlineLvl w:val="2"/>
    </w:pPr>
    <w:rPr>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style>
  <w:style w:type="paragraph" w:styleId="6">
    <w:name w:val="Body Text"/>
    <w:basedOn w:val="1"/>
    <w:qFormat/>
    <w:uiPriority w:val="1"/>
    <w:pPr>
      <w:ind w:left="480"/>
    </w:pPr>
    <w:rPr>
      <w:sz w:val="28"/>
      <w:szCs w:val="28"/>
    </w:rPr>
  </w:style>
  <w:style w:type="paragraph" w:styleId="7">
    <w:name w:val="Balloon Text"/>
    <w:basedOn w:val="1"/>
    <w:link w:val="17"/>
    <w:qFormat/>
    <w:uiPriority w:val="0"/>
    <w:rPr>
      <w:sz w:val="18"/>
      <w:szCs w:val="18"/>
    </w:rPr>
  </w:style>
  <w:style w:type="paragraph" w:styleId="8">
    <w:name w:val="footer"/>
    <w:basedOn w:val="1"/>
    <w:qFormat/>
    <w:uiPriority w:val="0"/>
    <w:pPr>
      <w:tabs>
        <w:tab w:val="center" w:pos="4153"/>
        <w:tab w:val="right" w:pos="8306"/>
      </w:tabs>
      <w:snapToGrid w:val="0"/>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0">
    <w:name w:val="Normal (Web)"/>
    <w:basedOn w:val="1"/>
    <w:unhideWhenUsed/>
    <w:qFormat/>
    <w:uiPriority w:val="0"/>
    <w:pPr>
      <w:widowControl/>
      <w:autoSpaceDE/>
      <w:autoSpaceDN/>
      <w:spacing w:before="100" w:beforeAutospacing="1" w:after="100" w:afterAutospacing="1"/>
    </w:pPr>
    <w:rPr>
      <w:rFonts w:hint="eastAsia" w:cs="Times New Roman"/>
      <w:sz w:val="24"/>
      <w:szCs w:val="24"/>
      <w:lang w:eastAsia="zh-CN"/>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
    <w:name w:val="Table Normal"/>
    <w:semiHidden/>
    <w:unhideWhenUsed/>
    <w:qFormat/>
    <w:uiPriority w:val="2"/>
    <w:tblPr>
      <w:tblCellMar>
        <w:top w:w="0" w:type="dxa"/>
        <w:left w:w="0" w:type="dxa"/>
        <w:bottom w:w="0" w:type="dxa"/>
        <w:right w:w="0" w:type="dxa"/>
      </w:tblCellMar>
    </w:tblPr>
  </w:style>
  <w:style w:type="paragraph" w:styleId="15">
    <w:name w:val="List Paragraph"/>
    <w:basedOn w:val="1"/>
    <w:qFormat/>
    <w:uiPriority w:val="1"/>
  </w:style>
  <w:style w:type="paragraph" w:customStyle="1" w:styleId="16">
    <w:name w:val="Table Paragraph"/>
    <w:basedOn w:val="1"/>
    <w:qFormat/>
    <w:uiPriority w:val="1"/>
    <w:pPr>
      <w:spacing w:before="154"/>
      <w:jc w:val="center"/>
    </w:pPr>
    <w:rPr>
      <w:rFonts w:ascii="Times New Roman" w:hAnsi="Times New Roman" w:eastAsia="Times New Roman" w:cs="Times New Roman"/>
    </w:rPr>
  </w:style>
  <w:style w:type="character" w:customStyle="1" w:styleId="17">
    <w:name w:val="批注框文本 字符"/>
    <w:basedOn w:val="13"/>
    <w:link w:val="7"/>
    <w:qFormat/>
    <w:uiPriority w:val="0"/>
    <w:rPr>
      <w:rFonts w:ascii="宋体" w:hAnsi="宋体" w:cs="宋体"/>
      <w:sz w:val="18"/>
      <w:szCs w:val="1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274</Words>
  <Characters>1567</Characters>
  <Lines>13</Lines>
  <Paragraphs>3</Paragraphs>
  <TotalTime>3</TotalTime>
  <ScaleCrop>false</ScaleCrop>
  <LinksUpToDate>false</LinksUpToDate>
  <CharactersWithSpaces>1838</CharactersWithSpaces>
  <Application>WPS Office_4.2.2.6882_F1E327BC-269C-435d-A152-05C5408002CA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2021-01-04T23:09:00Z</dcterms:created>
  <dc:creator>user</dc:creator>
  <cp:lastModifiedBy>大洋Young</cp:lastModifiedBy>
  <cp:lastPrinted>2022-07-08T22:06:00Z</cp:lastPrinted>
  <dcterms:modified xsi:type="dcterms:W3CDTF">2022-07-16T17:18:38Z</dcterms:modified>
  <dc:title>附件2</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2020-04-03T00:00:00Z</vt:filetime>
  </property>
  <property fmtid="{D5CDD505-2E9C-101B-9397-08002B2CF9AE}" pid="3" name="Creator">
    <vt:lpwstr>WPS 文字</vt:lpwstr>
  </property>
  <property fmtid="{D5CDD505-2E9C-101B-9397-08002B2CF9AE}" pid="4" name="LastSaved">
    <vt:filetime>2021-01-04T00:00:00Z</vt:filetime>
  </property>
  <property fmtid="{D5CDD505-2E9C-101B-9397-08002B2CF9AE}" pid="5" name="KSOProductBuildVer">
    <vt:lpwstr>2052-4.2.2.6882</vt:lpwstr>
  </property>
  <property fmtid="{D5CDD505-2E9C-101B-9397-08002B2CF9AE}" pid="6" name="ICV">
    <vt:lpwstr>C8B496EF9F1E44F2AC6C66D490CFEDB3</vt:lpwstr>
  </property>
</Properties>
</file>